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37</w:t>
      </w:r>
      <w:r>
        <w:rPr>
          <w:rFonts w:ascii="Times New Roman" w:eastAsia="Times New Roman" w:hAnsi="Times New Roman" w:cs="Times New Roman"/>
          <w:sz w:val="26"/>
          <w:szCs w:val="26"/>
        </w:rPr>
        <w:t>-2613/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23 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Айткулова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502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Style w:val="cat-UserDefinedgrp-26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Бахарева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Игоря Львовича, </w:t>
      </w:r>
      <w:r>
        <w:rPr>
          <w:rStyle w:val="cat-UserDefinedgrp-27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 ООО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Style w:val="cat-UserDefinedgrp-26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Бахарев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состоянию на 26.03.2025 г., не предоставил в 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23, п. 1 ст. 346.23 Налогового кодекса Российской Федерации, декларацию по налогу уплачиваемому в связи с применением упрощенной системы налогообложения за </w:t>
      </w:r>
      <w:r>
        <w:rPr>
          <w:rFonts w:ascii="Times New Roman" w:eastAsia="Times New Roman" w:hAnsi="Times New Roman" w:cs="Times New Roman"/>
          <w:sz w:val="26"/>
          <w:szCs w:val="26"/>
        </w:rPr>
        <w:t>2024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срок представления которой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алоговая декларация за </w:t>
      </w:r>
      <w:r>
        <w:rPr>
          <w:rFonts w:ascii="Times New Roman" w:eastAsia="Times New Roman" w:hAnsi="Times New Roman" w:cs="Times New Roman"/>
          <w:sz w:val="26"/>
          <w:szCs w:val="26"/>
        </w:rPr>
        <w:t>2024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предоставлена-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>.05.2025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тем самым </w:t>
      </w:r>
      <w:r>
        <w:rPr>
          <w:rFonts w:ascii="Times New Roman" w:eastAsia="Times New Roman" w:hAnsi="Times New Roman" w:cs="Times New Roman"/>
          <w:sz w:val="26"/>
          <w:szCs w:val="26"/>
        </w:rPr>
        <w:t>Бахарев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совершил административное правонарушение, за которое предусмотрена ответственность статьей 15.5 Кодекса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Бахарев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времени и 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сте судебного заседания извещен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54 ГК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общества: </w:t>
      </w:r>
      <w:r>
        <w:rPr>
          <w:rStyle w:val="cat-UserDefinedgrp-28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 1 ст. 346.23 НК РФ, по итогам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dst10368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налогового периода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налогоплательщики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 по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истекшим налоговым периодом (за исключением случаев,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dst792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пунктами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dst79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статьи), индивидуальные предприниматели - не позднее 25 апреля года, следующего за истекшим налоговым периодом (за исключением случаев, предусмотренных пунктами 2 и 3 настоящей статьи).</w:t>
      </w:r>
    </w:p>
    <w:p>
      <w:pPr>
        <w:spacing w:before="0" w:after="0"/>
        <w:ind w:firstLine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34223</w:t>
      </w:r>
      <w:r>
        <w:rPr>
          <w:rFonts w:ascii="Times New Roman" w:eastAsia="Times New Roman" w:hAnsi="Times New Roman" w:cs="Times New Roman"/>
          <w:sz w:val="26"/>
          <w:szCs w:val="26"/>
        </w:rPr>
        <w:t>, 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справкой о непредставлении декларации;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декларации с приложением документов, подтверждающих данные полномочия, оставленным без ответа;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 другими материалами дела.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прихожу к выводу о том, что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Style w:val="cat-UserDefinedgrp-26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Бахарева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Игоря Львовича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 по страховым взносам) в налоговый орган по месту учета.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6"/>
          <w:szCs w:val="26"/>
        </w:rPr>
        <w:t>уд не усматривает.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6"/>
          <w:szCs w:val="26"/>
        </w:rPr>
        <w:t>уд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6"/>
          <w:szCs w:val="26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Style w:val="cat-UserDefinedgrp-26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Бахарева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Игоря Львовича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предупреждения.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Д.Б. </w:t>
      </w:r>
      <w:r>
        <w:rPr>
          <w:rFonts w:ascii="Times New Roman" w:eastAsia="Times New Roman" w:hAnsi="Times New Roman" w:cs="Times New Roman"/>
          <w:sz w:val="26"/>
          <w:szCs w:val="26"/>
        </w:rPr>
        <w:t>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headerReference w:type="default" r:id="rId7"/>
      <w:footerReference w:type="default" r:id="rId8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6">
    <w:name w:val="cat-UserDefined grp-26 rplc-6"/>
    <w:basedOn w:val="DefaultParagraphFont"/>
  </w:style>
  <w:style w:type="character" w:customStyle="1" w:styleId="cat-UserDefinedgrp-27rplc-10">
    <w:name w:val="cat-UserDefined grp-27 rplc-10"/>
    <w:basedOn w:val="DefaultParagraphFont"/>
  </w:style>
  <w:style w:type="character" w:customStyle="1" w:styleId="cat-UserDefinedgrp-26rplc-15">
    <w:name w:val="cat-UserDefined grp-26 rplc-15"/>
    <w:basedOn w:val="DefaultParagraphFont"/>
  </w:style>
  <w:style w:type="character" w:customStyle="1" w:styleId="cat-UserDefinedgrp-28rplc-29">
    <w:name w:val="cat-UserDefined grp-28 rplc-29"/>
    <w:basedOn w:val="DefaultParagraphFont"/>
  </w:style>
  <w:style w:type="character" w:customStyle="1" w:styleId="cat-UserDefinedgrp-26rplc-34">
    <w:name w:val="cat-UserDefined grp-26 rplc-34"/>
    <w:basedOn w:val="DefaultParagraphFont"/>
  </w:style>
  <w:style w:type="character" w:customStyle="1" w:styleId="cat-UserDefinedgrp-26rplc-37">
    <w:name w:val="cat-UserDefined grp-26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20175/06c7990963bbfd3ad0ecfe92a0cee51ed8e1023d/" TargetMode="External" /><Relationship Id="rId5" Type="http://schemas.openxmlformats.org/officeDocument/2006/relationships/hyperlink" Target="https://www.consultant.ru/document/cons_doc_LAW_28165/051edffc72ec0bb6fb9c14a883b2ec4de75cfe8c/" TargetMode="External" /><Relationship Id="rId6" Type="http://schemas.openxmlformats.org/officeDocument/2006/relationships/hyperlink" Target="https://www.consultant.ru/document/cons_doc_LAW_520175/051edffc72ec0bb6fb9c14a883b2ec4de75cfe8c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